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BA4BFA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F6136" w:rsidRPr="003F6136">
        <w:rPr>
          <w:rFonts w:ascii="Arial" w:eastAsia="Calibri" w:hAnsi="Arial" w:cs="Arial"/>
          <w:i/>
          <w:iCs/>
        </w:rPr>
        <w:t>32873 Elektros energija iš atsinaujinančių energijos išteklių su balansavimo paslaug</w:t>
      </w:r>
      <w:r w:rsidR="003F6136" w:rsidRPr="003F6136">
        <w:rPr>
          <w:rFonts w:ascii="Arial" w:eastAsia="Calibri" w:hAnsi="Arial" w:cs="Arial"/>
          <w:i/>
          <w:iCs/>
          <w:color w:val="FF0000"/>
        </w:rPr>
        <w:t>a</w:t>
      </w:r>
      <w:r w:rsidR="003F6136" w:rsidRPr="003F6136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E5141"/>
    <w:rsid w:val="002F2AB9"/>
    <w:rsid w:val="003F245C"/>
    <w:rsid w:val="003F6136"/>
    <w:rsid w:val="0043557C"/>
    <w:rsid w:val="0048499A"/>
    <w:rsid w:val="004A684B"/>
    <w:rsid w:val="005E43AC"/>
    <w:rsid w:val="00623CC1"/>
    <w:rsid w:val="00693977"/>
    <w:rsid w:val="006E7E40"/>
    <w:rsid w:val="00782E2C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E5141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